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e-DE"/>
        </w:rPr>
        <w:t>Schreibwerkstatt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Zweifel zu bearbeiten klingt zun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chst einmal einfacher, als es dann in Wirklichkeit sein kann. Je nach Art der Zweifel und der pers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nlichen Betroffenheit ist das Bearbeiten ein l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ngerer Prozess.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Je nachdem wie sehr die Zweifel unser Leben bestimmen ist es wichtig, dass wir den vorhergegangen Phasen (Zulassen,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hlen) mehr Zeit einr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umen. Deshalb wird die Option die Zweifel </w:t>
      </w: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>nur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  <w:lang w:val="de-DE"/>
        </w:rPr>
        <w:t>in Worte zu fassen immer eine gleichberechtigte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glichkeit neben der Bearbeitung sein!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Wenn wir an etwas zweifeln haben wir auch fast immer, bewusst oder unbewusst, die Idee/Erwartung/Vorstellung wie es eigentlich sein sollte. Dies soll dann zu den Zweifeln in Beziehung gesetzt werden, um die Zweifel anders einzuordnen. Vielleicht werden sie dadurch ausger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umt. Auf jeden Fall werden sie neu bewertet und ihnen so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glicherweise ihr Gewicht genommen.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Wichtige Voraussetzung ist die Verschwiegenheit der Gruppe. Zweifel sind etwas sehr pers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nliches und bei der Bearbeitung k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nnen viele Sachen aufbrechen und zum Vorschein kommen. Alles was in der Gruppe besprochen wird bleibt unbedingt in der Gruppe.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Wenn jemand aus eigener Betroffenheit aussteigen oder nichts von sich preisgeben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chte, dann ist das so.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Einstieg: </w:t>
        <w:tab/>
        <w:t xml:space="preserve">jeder Teilnehmer sucht sich eine Karte aus, die nach den Vorstufen, am </w:t>
        <w:tab/>
        <w:tab/>
        <w:tab/>
        <w:tab/>
        <w:t xml:space="preserve">besten zu seinen Zweifeln passt. Die Karten sollen helfen Worte und Bilder </w:t>
        <w:tab/>
        <w:tab/>
        <w:tab/>
        <w:t>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die Emotionen zu finden. Vorstellung der Karten in der Runde.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Gut/B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 xml:space="preserve">se: </w:t>
        <w:tab/>
        <w:t xml:space="preserve">Zu zweit eine Geschichte schreiben. Einer ist positiv, der andere negativ. </w:t>
        <w:tab/>
        <w:tab/>
        <w:tab/>
        <w:tab/>
        <w:t>Jeder immer abwechselnd einen Satz. Nach der H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lfte der Zeit wechseln.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Vortag einiger Geschichten.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Aussprache: was f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llt euch leichter zu denken?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Textbeispiele: Psalm 22, Jona, Hiob, Abraham/Gott, Amazonbewertungen, etc.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Wie gehen die Personen, wie geht Gott mit Zweifeln um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Was erwarten wir bzw. nicht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Eigene Beispiele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Worte finden: Gef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hle, Zweifel, Erwartungen in Worte fassen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Worte aufschreiben und nicht benutzen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nur das Gegenteil formulieren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Nur Vortrag (freiwillig), keine Aussprache dar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Befindlichkeitsrunde zum Abschluss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bidi w:val="0"/>
      </w:pPr>
    </w:p>
    <w:p>
      <w:pPr>
        <w:pStyle w:val="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